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0D0D" w14:textId="222E533B" w:rsidR="00E60634" w:rsidRDefault="006D0ADF" w:rsidP="00E60634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63BB67A" wp14:editId="1BD4616E">
            <wp:extent cx="1727835" cy="1771650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68B9B" w14:textId="77777777" w:rsidR="00E60634" w:rsidRDefault="00E60634" w:rsidP="00E60634">
      <w:pPr>
        <w:jc w:val="center"/>
        <w:rPr>
          <w:sz w:val="32"/>
          <w:szCs w:val="32"/>
        </w:rPr>
      </w:pPr>
    </w:p>
    <w:p w14:paraId="5ADB462D" w14:textId="6F51DF7A" w:rsidR="00BB5EE7" w:rsidRPr="006D0ADF" w:rsidRDefault="00E60634" w:rsidP="00E60634">
      <w:pPr>
        <w:jc w:val="center"/>
        <w:rPr>
          <w:b/>
          <w:bCs/>
          <w:sz w:val="32"/>
          <w:szCs w:val="32"/>
        </w:rPr>
      </w:pPr>
      <w:r w:rsidRPr="006D0ADF">
        <w:rPr>
          <w:b/>
          <w:bCs/>
          <w:sz w:val="32"/>
          <w:szCs w:val="32"/>
        </w:rPr>
        <w:t>Good Faith Estimate Template from CMS</w:t>
      </w:r>
    </w:p>
    <w:p w14:paraId="5AA19AEA" w14:textId="04C39EEB" w:rsidR="00E60634" w:rsidRDefault="00E60634"/>
    <w:p w14:paraId="5FB44CA6" w14:textId="76B05EF5" w:rsidR="00E60634" w:rsidRDefault="00E60634">
      <w:pPr>
        <w:rPr>
          <w:sz w:val="28"/>
          <w:szCs w:val="28"/>
        </w:rPr>
      </w:pPr>
      <w:r w:rsidRPr="00E60634">
        <w:rPr>
          <w:sz w:val="28"/>
          <w:szCs w:val="28"/>
        </w:rPr>
        <w:t xml:space="preserve">CMS has posted a Good Faith Estimate (GFE) which can be used to comply with the new requirement for all medical and mental health providers treating </w:t>
      </w:r>
      <w:r>
        <w:rPr>
          <w:sz w:val="28"/>
          <w:szCs w:val="28"/>
        </w:rPr>
        <w:t xml:space="preserve">self-pay or uninsured patients.  It can be found at </w:t>
      </w:r>
      <w:hyperlink r:id="rId5" w:history="1">
        <w:r w:rsidRPr="005F5CE6">
          <w:rPr>
            <w:rStyle w:val="Hyperlink"/>
            <w:sz w:val="28"/>
            <w:szCs w:val="28"/>
          </w:rPr>
          <w:t>https://omb.report/icr/202109-0938-015/doc/115258001</w:t>
        </w:r>
      </w:hyperlink>
      <w:r>
        <w:rPr>
          <w:sz w:val="28"/>
          <w:szCs w:val="28"/>
        </w:rPr>
        <w:t xml:space="preserve"> </w:t>
      </w:r>
    </w:p>
    <w:p w14:paraId="5437C1BF" w14:textId="508FD985" w:rsidR="00E60634" w:rsidRDefault="00E60634">
      <w:pPr>
        <w:rPr>
          <w:sz w:val="28"/>
          <w:szCs w:val="28"/>
        </w:rPr>
      </w:pPr>
      <w:r>
        <w:rPr>
          <w:sz w:val="28"/>
          <w:szCs w:val="28"/>
        </w:rPr>
        <w:t>For mental health clinicians who use Ivy Pay for billing, there is a duplicate of this document which can be accessed at the Ivy Pay website</w:t>
      </w:r>
      <w:r w:rsidR="006D0ADF">
        <w:rPr>
          <w:sz w:val="28"/>
          <w:szCs w:val="28"/>
        </w:rPr>
        <w:t xml:space="preserve">, </w:t>
      </w:r>
      <w:hyperlink r:id="rId6" w:history="1">
        <w:r w:rsidR="006D0ADF" w:rsidRPr="005F5CE6">
          <w:rPr>
            <w:rStyle w:val="Hyperlink"/>
            <w:sz w:val="28"/>
            <w:szCs w:val="28"/>
          </w:rPr>
          <w:t>https://www.talktoivy.com/ivypay</w:t>
        </w:r>
      </w:hyperlink>
      <w:r w:rsidR="006D0ADF">
        <w:rPr>
          <w:sz w:val="28"/>
          <w:szCs w:val="28"/>
        </w:rPr>
        <w:t xml:space="preserve"> </w:t>
      </w:r>
    </w:p>
    <w:p w14:paraId="39989E6E" w14:textId="506BFC17" w:rsidR="006D0ADF" w:rsidRDefault="006D0ADF">
      <w:pPr>
        <w:rPr>
          <w:sz w:val="28"/>
          <w:szCs w:val="28"/>
        </w:rPr>
      </w:pPr>
      <w:r>
        <w:rPr>
          <w:sz w:val="28"/>
          <w:szCs w:val="28"/>
        </w:rPr>
        <w:t>These forms are more complex than the ones created by CSWA, and were created for medical procedures which are not as applicable for mental health treatment</w:t>
      </w:r>
      <w:r w:rsidR="00525DC2">
        <w:rPr>
          <w:sz w:val="28"/>
          <w:szCs w:val="28"/>
        </w:rPr>
        <w:t>, but are made available to those who wish to use them.</w:t>
      </w:r>
    </w:p>
    <w:p w14:paraId="1633816D" w14:textId="77777777" w:rsidR="006D0ADF" w:rsidRPr="00E60634" w:rsidRDefault="006D0ADF">
      <w:pPr>
        <w:rPr>
          <w:sz w:val="28"/>
          <w:szCs w:val="28"/>
        </w:rPr>
      </w:pPr>
    </w:p>
    <w:sectPr w:rsidR="006D0ADF" w:rsidRPr="00E6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34"/>
    <w:rsid w:val="00525DC2"/>
    <w:rsid w:val="006D0ADF"/>
    <w:rsid w:val="009A06BC"/>
    <w:rsid w:val="00BB5EE7"/>
    <w:rsid w:val="00E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E68F"/>
  <w15:chartTrackingRefBased/>
  <w15:docId w15:val="{8837297E-575C-4F5F-9349-A4C499ED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lktoivy.com/ivypay" TargetMode="External"/><Relationship Id="rId5" Type="http://schemas.openxmlformats.org/officeDocument/2006/relationships/hyperlink" Target="https://omb.report/icr/202109-0938-015/doc/115258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Groshong</dc:creator>
  <cp:keywords/>
  <dc:description/>
  <cp:lastModifiedBy>Laura Groshong</cp:lastModifiedBy>
  <cp:revision>2</cp:revision>
  <dcterms:created xsi:type="dcterms:W3CDTF">2022-01-15T03:32:00Z</dcterms:created>
  <dcterms:modified xsi:type="dcterms:W3CDTF">2022-01-15T03:32:00Z</dcterms:modified>
</cp:coreProperties>
</file>